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FA7A5F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7F383F61" w:rsidR="00C72BB7" w:rsidRPr="00FA7A5F" w:rsidRDefault="001C6EBD">
            <w:r>
              <w:rPr>
                <w:b/>
              </w:rPr>
              <w:t>Sessão 13: A Esfera, Avaliação e Análise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FA7A5F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C72BB7" w:rsidRPr="00FA7A5F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8E4F" w14:textId="04300BDE" w:rsidR="00981CFD" w:rsidRPr="00FA7A5F" w:rsidRDefault="00C72BB7">
            <w:r>
              <w:rPr>
                <w:b/>
              </w:rPr>
              <w:t>Nota:</w:t>
            </w:r>
            <w:r>
              <w:t xml:space="preserve"> Metade desta sessão é baseada </w:t>
            </w:r>
            <w:r w:rsidR="005D3600">
              <w:t xml:space="preserve">em </w:t>
            </w:r>
            <w:r>
              <w:t>conhecimentos e a outra metade no desenvolvimento de competências. Presume-se que as sessões realizadas anteriormente tenham abrangido as noções básicas sobre a Esfera (O que é a Esfera 1 e 2 e a Carta Humanitária) e os quatro capítulos técnicos. Se não for esse o caso, talvez seja necessário acrescentar algum tempo para fazer uma breve contextualização para esta sessão.</w:t>
            </w:r>
          </w:p>
          <w:p w14:paraId="5A643F57" w14:textId="3815B6B2" w:rsidR="00C72BB7" w:rsidRPr="00FA7A5F" w:rsidRDefault="00224B89">
            <w:r>
              <w:t>Cada participante precisará de um exemplar do Manual desde o início da sessão. A sessão combina três elementos</w:t>
            </w:r>
            <w:r w:rsidR="005D3600">
              <w:t>,</w:t>
            </w:r>
            <w:r>
              <w:t xml:space="preserve"> </w:t>
            </w:r>
            <w:r w:rsidR="005D3600">
              <w:t>interligados</w:t>
            </w:r>
            <w:r>
              <w:t xml:space="preserve"> ao longo dos seus 90 - minutos:</w:t>
            </w:r>
          </w:p>
          <w:p w14:paraId="001F7E7D" w14:textId="2016EE2F" w:rsidR="00981CFD" w:rsidRPr="00FA7A5F" w:rsidRDefault="00C72BB7" w:rsidP="00FA7A5F">
            <w:pPr>
              <w:tabs>
                <w:tab w:val="left" w:pos="330"/>
              </w:tabs>
              <w:ind w:left="330" w:hanging="270"/>
            </w:pPr>
            <w:r>
              <w:t>1.</w:t>
            </w:r>
            <w:r>
              <w:tab/>
              <w:t xml:space="preserve">Uma </w:t>
            </w:r>
            <w:r>
              <w:rPr>
                <w:b/>
              </w:rPr>
              <w:t>apresentação em PowerPoint</w:t>
            </w:r>
            <w:r>
              <w:t xml:space="preserve"> – com as notas do formador na “Vis</w:t>
            </w:r>
            <w:r w:rsidR="00436F9E">
              <w:t>ta</w:t>
            </w:r>
            <w:r w:rsidR="005D3600">
              <w:t xml:space="preserve"> d</w:t>
            </w:r>
            <w:r>
              <w:t xml:space="preserve">e Notas” para </w:t>
            </w:r>
            <w:r w:rsidR="005D3600">
              <w:t xml:space="preserve">o </w:t>
            </w:r>
            <w:r>
              <w:t>orientar</w:t>
            </w:r>
            <w:r w:rsidR="005D3600">
              <w:t>em</w:t>
            </w:r>
            <w:r>
              <w:t xml:space="preserve"> </w:t>
            </w:r>
            <w:r w:rsidR="005D3600">
              <w:t>n</w:t>
            </w:r>
            <w:r>
              <w:t xml:space="preserve">a sua apresentação e </w:t>
            </w:r>
            <w:r w:rsidR="005D3600">
              <w:t xml:space="preserve">o </w:t>
            </w:r>
            <w:r>
              <w:t>ajud</w:t>
            </w:r>
            <w:r w:rsidR="005D3600">
              <w:t xml:space="preserve">arem </w:t>
            </w:r>
            <w:r>
              <w:t>a facilitar os exercícios.</w:t>
            </w:r>
          </w:p>
          <w:p w14:paraId="5C6C1F6E" w14:textId="14357900" w:rsidR="00E33B6C" w:rsidRPr="00FA7A5F" w:rsidRDefault="00A46EE1" w:rsidP="00FA7A5F">
            <w:pPr>
              <w:tabs>
                <w:tab w:val="left" w:pos="330"/>
              </w:tabs>
              <w:ind w:left="330" w:hanging="270"/>
            </w:pPr>
            <w:r>
              <w:t>2.</w:t>
            </w:r>
            <w:r>
              <w:tab/>
              <w:t xml:space="preserve">Um </w:t>
            </w:r>
            <w:r>
              <w:rPr>
                <w:b/>
                <w:bCs/>
              </w:rPr>
              <w:t>exercício rápido de avaliação de dado</w:t>
            </w:r>
            <w:r w:rsidR="00436F9E">
              <w:rPr>
                <w:b/>
                <w:bCs/>
              </w:rPr>
              <w:t xml:space="preserve">s, </w:t>
            </w:r>
            <w:r>
              <w:t>que requer exemplares do</w:t>
            </w:r>
            <w:r w:rsidR="005D3600">
              <w:t xml:space="preserve"> folheto de </w:t>
            </w:r>
            <w:r>
              <w:t xml:space="preserve">uma página </w:t>
            </w:r>
            <w:r w:rsidR="005D3600">
              <w:t xml:space="preserve">destinado a </w:t>
            </w:r>
            <w:r>
              <w:t>esta sessão.</w:t>
            </w:r>
          </w:p>
          <w:p w14:paraId="177287EF" w14:textId="71C283EF" w:rsidR="00C72BB7" w:rsidRDefault="00E33B6C" w:rsidP="00FA7A5F">
            <w:pPr>
              <w:tabs>
                <w:tab w:val="left" w:pos="330"/>
              </w:tabs>
              <w:ind w:left="330" w:hanging="270"/>
            </w:pPr>
            <w:r>
              <w:t>3.</w:t>
            </w:r>
            <w:r>
              <w:tab/>
              <w:t xml:space="preserve">Um </w:t>
            </w:r>
            <w:r>
              <w:rPr>
                <w:b/>
                <w:bCs/>
              </w:rPr>
              <w:t xml:space="preserve">exercício mais </w:t>
            </w:r>
            <w:r w:rsidR="005D3600">
              <w:rPr>
                <w:b/>
                <w:bCs/>
              </w:rPr>
              <w:t>extenso,</w:t>
            </w:r>
            <w:r>
              <w:rPr>
                <w:b/>
                <w:bCs/>
              </w:rPr>
              <w:t xml:space="preserve"> baseado </w:t>
            </w:r>
            <w:r w:rsidR="005D3600">
              <w:rPr>
                <w:b/>
                <w:bCs/>
              </w:rPr>
              <w:t>num</w:t>
            </w:r>
            <w:r>
              <w:rPr>
                <w:b/>
                <w:bCs/>
              </w:rPr>
              <w:t xml:space="preserve"> vídeo</w:t>
            </w:r>
            <w:r>
              <w:t>, no qual os participantes desempenham papéis setoriais</w:t>
            </w:r>
            <w:r w:rsidR="005D3600">
              <w:t>,</w:t>
            </w:r>
            <w:r>
              <w:t xml:space="preserve"> trabalhando em conjunto para desenvolver um formulário de avaliação multissetorial.</w:t>
            </w:r>
          </w:p>
          <w:p w14:paraId="0E1F9446" w14:textId="747DC16E" w:rsidR="007411C9" w:rsidRPr="002661D5" w:rsidRDefault="007411C9" w:rsidP="00FA7A5F">
            <w:pPr>
              <w:tabs>
                <w:tab w:val="left" w:pos="330"/>
              </w:tabs>
              <w:ind w:left="330" w:hanging="270"/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37EC" w14:textId="77777777" w:rsidR="00FA7A5F" w:rsidRPr="002661D5" w:rsidRDefault="00FA7A5F"/>
          <w:p w14:paraId="6C87EB16" w14:textId="0AF32A94" w:rsidR="00C72BB7" w:rsidRPr="00FA7A5F" w:rsidRDefault="00C72BB7">
            <w:r>
              <w:rPr>
                <w:noProof/>
              </w:rPr>
              <w:drawing>
                <wp:inline distT="0" distB="0" distL="0" distR="0" wp14:anchorId="082D8F3D" wp14:editId="46BE6B96">
                  <wp:extent cx="1704975" cy="20669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72BB7" w:rsidRPr="00FA7A5F" w14:paraId="38B54FFD" w14:textId="77777777" w:rsidTr="00090E38">
        <w:trPr>
          <w:trHeight w:val="1601"/>
        </w:trPr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4E4C6F38" w:rsidR="00C72BB7" w:rsidRPr="00FA7A5F" w:rsidRDefault="00C72BB7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64DE210" w:rsidR="00AA699A" w:rsidRPr="00FA7A5F" w:rsidRDefault="00AA699A" w:rsidP="00FA7A5F">
            <w:pPr>
              <w:ind w:right="183"/>
              <w:rPr>
                <w:rFonts w:cstheme="minorHAnsi"/>
              </w:rPr>
            </w:pPr>
            <w:r>
              <w:t>No final desta sessão, os participantes serão capazes de:</w:t>
            </w:r>
          </w:p>
          <w:p w14:paraId="587AB6F6" w14:textId="77777777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>Explicar a importância e o cerne da avaliação em diferentes fases de uma crise</w:t>
            </w:r>
          </w:p>
          <w:p w14:paraId="76C9D9B3" w14:textId="77777777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>Citar orientações da Esfera para avaliações em cada fase</w:t>
            </w:r>
          </w:p>
          <w:p w14:paraId="38B19C2B" w14:textId="03795C63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 xml:space="preserve">Converter indicadores adequados da Esfera em perguntas úteis </w:t>
            </w:r>
            <w:r w:rsidR="005D3600">
              <w:t xml:space="preserve">para </w:t>
            </w:r>
            <w:r>
              <w:t>avaliação humanitária</w:t>
            </w:r>
          </w:p>
          <w:p w14:paraId="5EF88DDE" w14:textId="77777777" w:rsidR="00FA7A5F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>Contribuir para a conceção de avaliações multissetoriais</w:t>
            </w:r>
          </w:p>
          <w:p w14:paraId="3378B49A" w14:textId="1FD58FC0" w:rsidR="007411C9" w:rsidRPr="002661D5" w:rsidRDefault="007411C9" w:rsidP="007411C9">
            <w:pPr>
              <w:pStyle w:val="PargrafodaLista"/>
              <w:ind w:left="510" w:right="183"/>
            </w:pPr>
          </w:p>
        </w:tc>
      </w:tr>
      <w:tr w:rsidR="00C72BB7" w:rsidRPr="00FA7A5F" w14:paraId="2150EE1C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4E0BE83A" w:rsidR="00C72BB7" w:rsidRPr="00FA7A5F" w:rsidRDefault="00C72BB7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0F22453E" w14:textId="2998941E" w:rsidR="00744F14" w:rsidRPr="00FA7A5F" w:rsidRDefault="00744F14">
            <w:r>
              <w:t xml:space="preserve">Estas são mensagens-chave da sessão que deve destacar na sua apresentação e salientar no final da sessão. O objetivo é que os participantes sejam capazes de </w:t>
            </w:r>
            <w:r w:rsidR="005D3600">
              <w:t>interiorizar</w:t>
            </w:r>
            <w:r>
              <w:t xml:space="preserve"> e reafirmar estas mensagens-chave com os colegas</w:t>
            </w:r>
            <w:r w:rsidR="005D3600">
              <w:t>,</w:t>
            </w:r>
            <w:r>
              <w:t xml:space="preserve"> durante e após a formação. </w:t>
            </w:r>
          </w:p>
          <w:p w14:paraId="095404BF" w14:textId="3AE18F80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>A avaliação é necessária antes, durante e após as crises</w:t>
            </w:r>
            <w:r w:rsidR="005D3600">
              <w:t>,</w:t>
            </w:r>
            <w:r>
              <w:t xml:space="preserve"> e deve melhorar ao longo do tempo.</w:t>
            </w:r>
          </w:p>
          <w:p w14:paraId="7746C25D" w14:textId="3AF03F65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 xml:space="preserve">A avaliação inclui a aprendizagem das necessidades, recursos, vulnerabilidades e capacidades das comunidades e </w:t>
            </w:r>
            <w:r w:rsidR="005D3600">
              <w:t xml:space="preserve">das </w:t>
            </w:r>
            <w:r>
              <w:t>pessoas afetadas pela crise.</w:t>
            </w:r>
          </w:p>
          <w:p w14:paraId="709B65B7" w14:textId="6FB1594A" w:rsidR="00980908" w:rsidRPr="00980908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 xml:space="preserve">As avaliações devem envolver a comunidade, ser coordenadas, e </w:t>
            </w:r>
            <w:r w:rsidR="005D3600">
              <w:t xml:space="preserve">ser </w:t>
            </w:r>
            <w:r>
              <w:t>concebidas para apoiar a tomada de decisões dos programas.</w:t>
            </w:r>
          </w:p>
          <w:p w14:paraId="198E1153" w14:textId="49EA799A" w:rsidR="00FA7A5F" w:rsidRDefault="00980908" w:rsidP="00980908">
            <w:pPr>
              <w:pStyle w:val="PargrafodaLista"/>
              <w:numPr>
                <w:ilvl w:val="0"/>
                <w:numId w:val="8"/>
              </w:numPr>
              <w:ind w:left="510" w:right="183"/>
            </w:pPr>
            <w:r>
              <w:t xml:space="preserve">A Esfera fornece ferramentas práticas (Indicadores e listas de verificação em particular) para </w:t>
            </w:r>
            <w:r w:rsidR="005D3600">
              <w:t xml:space="preserve">o </w:t>
            </w:r>
            <w:r>
              <w:t>desenvolv</w:t>
            </w:r>
            <w:r w:rsidR="005D3600">
              <w:t>imento de</w:t>
            </w:r>
            <w:r>
              <w:t xml:space="preserve"> avaliações de alta qualidade - utilizem-nas.</w:t>
            </w:r>
          </w:p>
          <w:p w14:paraId="3944D94B" w14:textId="006764AE" w:rsidR="007411C9" w:rsidRPr="002661D5" w:rsidRDefault="007411C9" w:rsidP="007411C9">
            <w:pPr>
              <w:pStyle w:val="PargrafodaLista"/>
              <w:ind w:left="510" w:right="183"/>
            </w:pPr>
          </w:p>
        </w:tc>
      </w:tr>
      <w:tr w:rsidR="00C72BB7" w:rsidRPr="00FA7A5F" w14:paraId="2C617D82" w14:textId="77777777" w:rsidTr="00A46EE1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762C" w14:textId="4F5C3817" w:rsidR="00C72BB7" w:rsidRPr="00FA7A5F" w:rsidRDefault="00C72BB7" w:rsidP="00A46EE1">
            <w:pPr>
              <w:spacing w:line="240" w:lineRule="auto"/>
              <w:rPr>
                <w:b/>
              </w:rPr>
            </w:pPr>
            <w:r>
              <w:rPr>
                <w:b/>
              </w:rPr>
              <w:t>Plano de sessão conciso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331" w14:textId="77777777" w:rsidR="00C72BB7" w:rsidRPr="00FA7A5F" w:rsidRDefault="00C72BB7" w:rsidP="00C72BB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A46EE1" w:rsidRPr="00FA7A5F" w14:paraId="4570A474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B3" w14:textId="7AE48A62" w:rsidR="00A46EE1" w:rsidRPr="00FA7A5F" w:rsidRDefault="00A46EE1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Introdução e objetivos de aprendizagem (diapositivos 1-2)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BB7" w14:textId="77777777" w:rsidR="00A46EE1" w:rsidRPr="00FA7A5F" w:rsidRDefault="00A46EE1" w:rsidP="00A46EE1">
            <w:r>
              <w:t>5 min</w:t>
            </w:r>
          </w:p>
        </w:tc>
      </w:tr>
      <w:tr w:rsidR="00A46EE1" w:rsidRPr="00FA7A5F" w14:paraId="2AD57F2A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257" w14:textId="3A4AC2D4" w:rsidR="00A46EE1" w:rsidRPr="00FA7A5F" w:rsidRDefault="00E9487C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Diferentes tipos de avaliações e prioridades ao longo do tempo (3-7)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22B" w14:textId="1E05023B" w:rsidR="00A46EE1" w:rsidRPr="00FA7A5F" w:rsidRDefault="0002139A" w:rsidP="00A46EE1">
            <w:r>
              <w:t>10 min</w:t>
            </w:r>
          </w:p>
        </w:tc>
      </w:tr>
      <w:tr w:rsidR="00A46EE1" w:rsidRPr="00FA7A5F" w14:paraId="53AAB03C" w14:textId="77777777" w:rsidTr="00FA7A5F">
        <w:trPr>
          <w:trHeight w:val="7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2554" w14:textId="7EE4AD9A" w:rsidR="00A46EE1" w:rsidRPr="00FA7A5F" w:rsidRDefault="008C5F66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 xml:space="preserve">Aperfeiçoamento das </w:t>
            </w:r>
            <w:r w:rsidR="005E7DDF">
              <w:t>avaliações e dados desagregados (8-16)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4C3" w14:textId="343B9BC6" w:rsidR="00A46EE1" w:rsidRPr="00FA7A5F" w:rsidRDefault="008B46EF" w:rsidP="00A46EE1">
            <w:r>
              <w:t>10 min</w:t>
            </w:r>
          </w:p>
        </w:tc>
      </w:tr>
      <w:tr w:rsidR="003E663F" w:rsidRPr="00FA7A5F" w14:paraId="478579BF" w14:textId="77777777" w:rsidTr="00A46EE1">
        <w:trPr>
          <w:trHeight w:val="377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163C" w14:textId="29BCEB10" w:rsidR="003E663F" w:rsidRPr="00FA7A5F" w:rsidRDefault="00D600AC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Melhor</w:t>
            </w:r>
            <w:r w:rsidR="008C5F66">
              <w:t>ia d</w:t>
            </w:r>
            <w:r>
              <w:t>a qualidade das perguntas de avaliação</w:t>
            </w:r>
            <w:r w:rsidR="008C5F66">
              <w:t>,</w:t>
            </w:r>
            <w:r>
              <w:t xml:space="preserve"> utilizando indicadores da Esfera (7-12)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F511" w14:textId="72515E57" w:rsidR="003E663F" w:rsidRPr="00FA7A5F" w:rsidRDefault="00D600AC" w:rsidP="00A46EE1">
            <w:r>
              <w:t>10 min</w:t>
            </w:r>
          </w:p>
        </w:tc>
      </w:tr>
      <w:tr w:rsidR="0002139A" w:rsidRPr="00FA7A5F" w14:paraId="51D10D33" w14:textId="77777777" w:rsidTr="007411C9">
        <w:trPr>
          <w:trHeight w:val="8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A6E" w14:textId="4456841B" w:rsidR="0002139A" w:rsidRPr="00FA7A5F" w:rsidRDefault="00D600AC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lastRenderedPageBreak/>
              <w:t xml:space="preserve">Exercício de conceção de avaliação multissetorial e </w:t>
            </w:r>
            <w:r w:rsidR="008C5F66">
              <w:t>reunião de balanço</w:t>
            </w:r>
            <w:r>
              <w:t xml:space="preserve"> (22-24)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9DE" w14:textId="357BC954" w:rsidR="0002139A" w:rsidRPr="00FA7A5F" w:rsidRDefault="00D600AC" w:rsidP="00A46EE1">
            <w:r>
              <w:t>45 min</w:t>
            </w:r>
          </w:p>
        </w:tc>
      </w:tr>
      <w:tr w:rsidR="00231C50" w:rsidRPr="00FA7A5F" w14:paraId="4D6492AC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48F" w14:textId="6EEE4DA0" w:rsidR="00231C50" w:rsidRPr="00FA7A5F" w:rsidRDefault="00231C50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Encerramento e resumo (25 e 26)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E1F0" w14:textId="386E9398" w:rsidR="00231C50" w:rsidRPr="00FA7A5F" w:rsidRDefault="00D600AC" w:rsidP="00A46EE1">
            <w:r>
              <w:t>10 min</w:t>
            </w:r>
          </w:p>
        </w:tc>
      </w:tr>
      <w:tr w:rsidR="00EC337E" w:rsidRPr="00FA7A5F" w14:paraId="40399DC4" w14:textId="77777777" w:rsidTr="00EC3E4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39B" w14:textId="78BD1CE2" w:rsidR="00EC337E" w:rsidRPr="00FA7A5F" w:rsidRDefault="008A7A20" w:rsidP="00A46EE1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46049C49" w14:textId="7365AA4C" w:rsidR="00071267" w:rsidRPr="00FA7A5F" w:rsidRDefault="00071267" w:rsidP="007D1C24">
            <w:r>
              <w:t xml:space="preserve">O ficheiro PowerPoint para esta sessão é </w:t>
            </w:r>
            <w:r>
              <w:rPr>
                <w:b/>
              </w:rPr>
              <w:t>STP</w:t>
            </w:r>
            <w:r w:rsidR="00C84AB8" w:rsidRPr="00C84AB8">
              <w:rPr>
                <w:b/>
              </w:rPr>
              <w:t xml:space="preserve"> 13 </w:t>
            </w:r>
            <w:proofErr w:type="spellStart"/>
            <w:r w:rsidR="00C84AB8" w:rsidRPr="00C84AB8">
              <w:rPr>
                <w:b/>
              </w:rPr>
              <w:t>Sphere</w:t>
            </w:r>
            <w:proofErr w:type="spellEnd"/>
            <w:r w:rsidR="00C84AB8" w:rsidRPr="00C84AB8">
              <w:rPr>
                <w:b/>
              </w:rPr>
              <w:t xml:space="preserve">, </w:t>
            </w:r>
            <w:proofErr w:type="spellStart"/>
            <w:r w:rsidR="00C84AB8" w:rsidRPr="00C84AB8">
              <w:rPr>
                <w:b/>
              </w:rPr>
              <w:t>Assessment</w:t>
            </w:r>
            <w:proofErr w:type="spellEnd"/>
            <w:r w:rsidR="00C84AB8" w:rsidRPr="00C84AB8">
              <w:rPr>
                <w:b/>
              </w:rPr>
              <w:t xml:space="preserve"> </w:t>
            </w:r>
            <w:proofErr w:type="spellStart"/>
            <w:r w:rsidR="00C84AB8" w:rsidRPr="00C84AB8">
              <w:rPr>
                <w:b/>
              </w:rPr>
              <w:t>and</w:t>
            </w:r>
            <w:proofErr w:type="spellEnd"/>
            <w:r w:rsidR="00C84AB8" w:rsidRPr="00C84AB8">
              <w:rPr>
                <w:b/>
              </w:rPr>
              <w:t xml:space="preserve"> Analysis.pptx</w:t>
            </w:r>
            <w:r w:rsidR="00C84AB8">
              <w:rPr>
                <w:b/>
              </w:rPr>
              <w:t xml:space="preserve"> (</w:t>
            </w:r>
            <w:r>
              <w:rPr>
                <w:b/>
              </w:rPr>
              <w:t>A Esfera, Avaliação e Análise</w:t>
            </w:r>
            <w:r w:rsidR="00C84AB8">
              <w:rPr>
                <w:b/>
              </w:rPr>
              <w:t>)</w:t>
            </w:r>
          </w:p>
          <w:p w14:paraId="70905CAC" w14:textId="1F5A5C77" w:rsidR="00EC337E" w:rsidRPr="00FA7A5F" w:rsidRDefault="00F25AEA" w:rsidP="007D1C24">
            <w:r>
              <w:t xml:space="preserve">Há três ficheiros Word para </w:t>
            </w:r>
            <w:r w:rsidR="00C84AB8">
              <w:t>folhetos</w:t>
            </w:r>
            <w:r>
              <w:t>:</w:t>
            </w:r>
          </w:p>
          <w:p w14:paraId="195F8DF6" w14:textId="68995C45" w:rsidR="00740CDC" w:rsidRDefault="00895B1A" w:rsidP="00DF4266">
            <w:pPr>
              <w:pStyle w:val="PargrafodaLista"/>
              <w:numPr>
                <w:ilvl w:val="0"/>
                <w:numId w:val="22"/>
              </w:numPr>
            </w:pPr>
            <w:r>
              <w:rPr>
                <w:b/>
              </w:rPr>
              <w:t xml:space="preserve">STP 13 </w:t>
            </w:r>
            <w:r w:rsidR="00C84AB8" w:rsidRPr="00C84AB8">
              <w:rPr>
                <w:b/>
              </w:rPr>
              <w:t>Data Handout.docx</w:t>
            </w:r>
            <w:r w:rsidR="00C84AB8" w:rsidRPr="00C84AB8">
              <w:t xml:space="preserve"> </w:t>
            </w:r>
            <w:r w:rsidR="00C84AB8" w:rsidRPr="00C84AB8">
              <w:rPr>
                <w:b/>
                <w:bCs/>
              </w:rPr>
              <w:t xml:space="preserve">(Folheto relativo </w:t>
            </w:r>
            <w:r w:rsidR="00C84AB8">
              <w:rPr>
                <w:b/>
                <w:bCs/>
              </w:rPr>
              <w:t>a</w:t>
            </w:r>
            <w:r w:rsidRPr="00C84AB8">
              <w:rPr>
                <w:b/>
                <w:bCs/>
              </w:rPr>
              <w:t xml:space="preserve"> dados</w:t>
            </w:r>
            <w:r w:rsidR="00C84AB8">
              <w:rPr>
                <w:b/>
              </w:rPr>
              <w:t>)</w:t>
            </w:r>
            <w:r>
              <w:t xml:space="preserve"> (imprima um para cada participante e um para si)</w:t>
            </w:r>
          </w:p>
          <w:p w14:paraId="3EF880D8" w14:textId="73FFDE6A" w:rsidR="00D0545C" w:rsidRDefault="00D0545C" w:rsidP="00DF4266">
            <w:pPr>
              <w:pStyle w:val="PargrafodaLista"/>
              <w:numPr>
                <w:ilvl w:val="0"/>
                <w:numId w:val="22"/>
              </w:numPr>
            </w:pPr>
            <w:r>
              <w:rPr>
                <w:b/>
                <w:bCs/>
              </w:rPr>
              <w:t xml:space="preserve">STP 13 </w:t>
            </w:r>
            <w:proofErr w:type="spellStart"/>
            <w:r w:rsidR="00C84AB8" w:rsidRPr="00C84AB8">
              <w:rPr>
                <w:b/>
                <w:bCs/>
              </w:rPr>
              <w:t>Guidance</w:t>
            </w:r>
            <w:proofErr w:type="spellEnd"/>
            <w:r w:rsidR="00C84AB8" w:rsidRPr="00C84AB8">
              <w:rPr>
                <w:b/>
                <w:bCs/>
              </w:rPr>
              <w:t xml:space="preserve"> for </w:t>
            </w:r>
            <w:proofErr w:type="spellStart"/>
            <w:r w:rsidR="00C84AB8" w:rsidRPr="00C84AB8">
              <w:rPr>
                <w:b/>
                <w:bCs/>
              </w:rPr>
              <w:t>Coordination</w:t>
            </w:r>
            <w:proofErr w:type="spellEnd"/>
            <w:r w:rsidR="00C84AB8" w:rsidRPr="00C84AB8">
              <w:rPr>
                <w:b/>
                <w:bCs/>
              </w:rPr>
              <w:t xml:space="preserve"> Team Handout.docx</w:t>
            </w:r>
            <w:r w:rsidR="00C84AB8" w:rsidRPr="00C84AB8">
              <w:t xml:space="preserve"> </w:t>
            </w:r>
            <w:r w:rsidR="00C84AB8">
              <w:t>(</w:t>
            </w:r>
            <w:r w:rsidR="00C84AB8">
              <w:rPr>
                <w:b/>
                <w:bCs/>
              </w:rPr>
              <w:t xml:space="preserve">Folheto de </w:t>
            </w:r>
            <w:r>
              <w:rPr>
                <w:b/>
                <w:bCs/>
              </w:rPr>
              <w:t>Orientaç</w:t>
            </w:r>
            <w:r w:rsidR="00C84AB8">
              <w:rPr>
                <w:b/>
                <w:bCs/>
              </w:rPr>
              <w:t>ão</w:t>
            </w:r>
            <w:r>
              <w:rPr>
                <w:b/>
                <w:bCs/>
              </w:rPr>
              <w:t xml:space="preserve"> para a Equipa de Coordenação</w:t>
            </w:r>
            <w:r w:rsidR="00C84AB8">
              <w:rPr>
                <w:b/>
                <w:bCs/>
              </w:rPr>
              <w:t>)</w:t>
            </w:r>
            <w:r>
              <w:t xml:space="preserve"> (imprima um para cada membro da equipa de coordenação, ou seja, o número total de participantes dividido por seis)</w:t>
            </w:r>
          </w:p>
          <w:p w14:paraId="22C7374E" w14:textId="0A4DCB0A" w:rsidR="00D0545C" w:rsidRPr="00D0545C" w:rsidRDefault="00D0545C" w:rsidP="00D0545C">
            <w:pPr>
              <w:pStyle w:val="PargrafodaLista"/>
              <w:numPr>
                <w:ilvl w:val="0"/>
                <w:numId w:val="22"/>
              </w:numPr>
            </w:pPr>
            <w:r>
              <w:rPr>
                <w:b/>
                <w:bCs/>
              </w:rPr>
              <w:t xml:space="preserve">STP 13 </w:t>
            </w:r>
            <w:proofErr w:type="spellStart"/>
            <w:r w:rsidR="00C84AB8" w:rsidRPr="00C84AB8">
              <w:rPr>
                <w:b/>
                <w:bCs/>
              </w:rPr>
              <w:t>Chapter</w:t>
            </w:r>
            <w:proofErr w:type="spellEnd"/>
            <w:r w:rsidR="00C84AB8" w:rsidRPr="00C84AB8">
              <w:rPr>
                <w:b/>
                <w:bCs/>
              </w:rPr>
              <w:t xml:space="preserve"> Icons.docx (</w:t>
            </w:r>
            <w:r>
              <w:rPr>
                <w:b/>
                <w:bCs/>
              </w:rPr>
              <w:t>Ícones de capítulo</w:t>
            </w:r>
            <w:r w:rsidR="00C84AB8">
              <w:rPr>
                <w:b/>
                <w:bCs/>
              </w:rPr>
              <w:t>)</w:t>
            </w:r>
            <w:r>
              <w:t xml:space="preserve"> (imprima um exemplar e lamine para reutilização. Estes podem ser misturados e entregues a</w:t>
            </w:r>
            <w:r w:rsidR="00C84AB8">
              <w:t>os</w:t>
            </w:r>
            <w:r>
              <w:t xml:space="preserve"> grupos para </w:t>
            </w:r>
            <w:r w:rsidR="00C84AB8">
              <w:t xml:space="preserve">serem </w:t>
            </w:r>
            <w:r>
              <w:t>atribu</w:t>
            </w:r>
            <w:r w:rsidR="00C84AB8">
              <w:t xml:space="preserve">ídos </w:t>
            </w:r>
            <w:r>
              <w:t>setores aleatoriamente, se necessário, e podem vir a ser úteis também para outras sessões. A Segurança Alimentar e Nutricional pode ser agrupada ou separada).</w:t>
            </w:r>
          </w:p>
          <w:p w14:paraId="2E384847" w14:textId="7B172FB2" w:rsidR="007411C9" w:rsidRPr="00ED0C7A" w:rsidRDefault="00ED0C7A" w:rsidP="007411C9">
            <w:r>
              <w:t>Pode</w:t>
            </w:r>
            <w:r w:rsidR="00C84AB8">
              <w:t xml:space="preserve">rá desejar </w:t>
            </w:r>
            <w:r>
              <w:t>criar crachás de “coordenador” para os membros da equipa de coordenação</w:t>
            </w:r>
            <w:r w:rsidR="00C84AB8">
              <w:t>,</w:t>
            </w:r>
            <w:r>
              <w:t xml:space="preserve"> no exercício de grupo. Isto ajudá-lo-á a reconhecer rapidamente quem é o coordenador visitante</w:t>
            </w:r>
            <w:r w:rsidR="00C84AB8">
              <w:t>,</w:t>
            </w:r>
            <w:r>
              <w:t xml:space="preserve"> à medida que se desloca entre grupos setoriais.</w:t>
            </w:r>
          </w:p>
        </w:tc>
      </w:tr>
      <w:tr w:rsidR="00980787" w:rsidRPr="00FA7A5F" w14:paraId="4F2CA6E8" w14:textId="77777777" w:rsidTr="00EC3E4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A9D9" w14:textId="77777777" w:rsidR="00980787" w:rsidRDefault="00980787" w:rsidP="00980787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44B5D2BB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0E62352A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689E4EF1" w14:textId="77777777" w:rsidR="00980787" w:rsidRDefault="00980787" w:rsidP="009807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dos participantes de realizarem uma atividade ou de executarem uma competência. O ensino é mais eficaz através da prática, da aplicação direta e da repetição.</w:t>
            </w:r>
          </w:p>
          <w:p w14:paraId="1C4766B8" w14:textId="77777777" w:rsidR="00980787" w:rsidRDefault="00980787" w:rsidP="009807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de explicarem os conteúdos a outra pessoa.</w:t>
            </w:r>
          </w:p>
          <w:p w14:paraId="7A3C5B49" w14:textId="77777777" w:rsidR="00980787" w:rsidRDefault="00980787" w:rsidP="00980787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encorajar, convencer e provocar, na medida do possível, a adesão do grupo.</w:t>
            </w:r>
          </w:p>
          <w:p w14:paraId="7886F36E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6C35C329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658CF401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Utilize sempre as atividades (por exemplo, estudo de casos, dramatização, discussão em plenário, jogo de correspondência, análise de fotos ou vídeos) durante a sessão. Os </w:t>
            </w:r>
            <w:r>
              <w:lastRenderedPageBreak/>
              <w:t>participantes estarão muito mais interessados e aprenderão mais fazendo do que apenas ouvindo instruções de como proceder.</w:t>
            </w:r>
          </w:p>
          <w:p w14:paraId="6B79AACB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359A252F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7591443A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60F36233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debate necessários. Seis grupos de quatro pessoas com cada pessoa a falar durante 2 minutos = 48 minutos, se todos falarem! Demoraria 24 minutos se um representante falasse por cada grupo durante 4 minutos.</w:t>
            </w:r>
          </w:p>
          <w:p w14:paraId="740B258D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6AAC890F" w14:textId="77777777" w:rsidR="00980787" w:rsidRPr="00DA42E4" w:rsidRDefault="00980787" w:rsidP="00980787">
            <w:pPr>
              <w:rPr>
                <w:b/>
              </w:rPr>
            </w:pPr>
          </w:p>
          <w:p w14:paraId="7812E195" w14:textId="77777777" w:rsidR="00980787" w:rsidRDefault="00980787" w:rsidP="00980787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076508DE" w14:textId="77777777" w:rsidR="00980787" w:rsidRDefault="00980787" w:rsidP="00980787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4A11EA50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iperligao"/>
                </w:rPr>
                <w:t>https://www.surveymonkey.com/r/STP2019facilitatorsENG</w:t>
              </w:r>
            </w:hyperlink>
          </w:p>
          <w:p w14:paraId="2C56EBB6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iperligao"/>
                </w:rPr>
                <w:t>https://www.surveymonkey.com/r/STP2019studiersENG</w:t>
              </w:r>
            </w:hyperlink>
          </w:p>
          <w:p w14:paraId="1D9D6722" w14:textId="77777777" w:rsidR="00980787" w:rsidRPr="00DA42E4" w:rsidRDefault="00980787" w:rsidP="00980787">
            <w:pPr>
              <w:spacing w:line="252" w:lineRule="auto"/>
              <w:rPr>
                <w:bCs/>
              </w:rPr>
            </w:pPr>
          </w:p>
          <w:p w14:paraId="3A8A37CD" w14:textId="77777777" w:rsidR="00980787" w:rsidRDefault="00980787" w:rsidP="00980787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638B9301" w14:textId="77777777" w:rsidR="00980787" w:rsidRDefault="00980787" w:rsidP="00980787">
            <w:pPr>
              <w:pStyle w:val="PargrafodaLista"/>
              <w:numPr>
                <w:ilvl w:val="0"/>
                <w:numId w:val="26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 xml:space="preserve">STP 20 </w:t>
            </w:r>
            <w:proofErr w:type="spellStart"/>
            <w:r>
              <w:rPr>
                <w:b/>
                <w:bCs/>
              </w:rPr>
              <w:t>Evaluation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</w:t>
            </w:r>
            <w:proofErr w:type="spellEnd"/>
            <w:r>
              <w:rPr>
                <w:b/>
                <w:bCs/>
              </w:rPr>
              <w:t xml:space="preserve">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iperligao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 para solicitar uma forma única de recolha de respostas a inquéritos (</w:t>
            </w:r>
            <w:proofErr w:type="spellStart"/>
            <w:r>
              <w:t>SurveyMonkey</w:t>
            </w:r>
            <w:proofErr w:type="spellEnd"/>
            <w:r>
              <w:t xml:space="preserve"> designa-o como “coletor”) ou uma versão personalizada para o seu evento.</w:t>
            </w:r>
          </w:p>
          <w:p w14:paraId="7C937DE7" w14:textId="77777777" w:rsidR="00980787" w:rsidRPr="00DA42E4" w:rsidRDefault="00980787" w:rsidP="00980787">
            <w:pPr>
              <w:spacing w:line="252" w:lineRule="auto"/>
              <w:rPr>
                <w:bCs/>
              </w:rPr>
            </w:pPr>
          </w:p>
          <w:p w14:paraId="41520061" w14:textId="77777777" w:rsidR="00980787" w:rsidRDefault="00980787" w:rsidP="00980787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01E54DA7" w14:textId="77777777" w:rsidR="00980787" w:rsidRDefault="00980787" w:rsidP="00980787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0169D3">
              <w:rPr>
                <w:b/>
                <w:bCs/>
              </w:rPr>
              <w:t xml:space="preserve">Training </w:t>
            </w:r>
            <w:proofErr w:type="spellStart"/>
            <w:r w:rsidRPr="000169D3">
              <w:rPr>
                <w:b/>
                <w:bCs/>
              </w:rPr>
              <w:t>event</w:t>
            </w:r>
            <w:proofErr w:type="spellEnd"/>
            <w:r w:rsidRPr="000169D3">
              <w:rPr>
                <w:b/>
                <w:bCs/>
              </w:rPr>
              <w:t xml:space="preserve"> </w:t>
            </w:r>
            <w:proofErr w:type="spellStart"/>
            <w:r w:rsidRPr="000169D3">
              <w:rPr>
                <w:b/>
                <w:bCs/>
              </w:rPr>
              <w:t>report</w:t>
            </w:r>
            <w:proofErr w:type="spellEnd"/>
            <w:r w:rsidRPr="000169D3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.docx.</w:t>
            </w:r>
            <w:r>
              <w:t xml:space="preserve">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504055E9" w14:textId="11C6FCD0" w:rsidR="00980787" w:rsidRPr="002661D5" w:rsidRDefault="00980787" w:rsidP="00980787">
            <w:pPr>
              <w:spacing w:line="252" w:lineRule="auto"/>
              <w:ind w:left="340"/>
              <w:rPr>
                <w:bCs/>
              </w:rPr>
            </w:pPr>
          </w:p>
        </w:tc>
      </w:tr>
      <w:tr w:rsidR="007F00AD" w:rsidRPr="00FA7A5F" w14:paraId="39C0E500" w14:textId="77777777" w:rsidTr="00EC3E4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0EA" w14:textId="3F8291AA" w:rsidR="007F00AD" w:rsidRPr="00FA7A5F" w:rsidRDefault="007D1C24" w:rsidP="007F00AD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="00980787" w:rsidRPr="00980787">
              <w:rPr>
                <w:b/>
                <w:bCs/>
              </w:rPr>
              <w:t xml:space="preserve">Sugestões </w:t>
            </w:r>
            <w:r w:rsidRPr="00980787">
              <w:rPr>
                <w:b/>
                <w:bCs/>
              </w:rPr>
              <w:t>p</w:t>
            </w:r>
            <w:r>
              <w:rPr>
                <w:b/>
              </w:rPr>
              <w:t>ara alteração local</w:t>
            </w:r>
          </w:p>
          <w:p w14:paraId="07B1987E" w14:textId="69C78DA4" w:rsidR="00887D2C" w:rsidRPr="00FA7A5F" w:rsidRDefault="007F00AD" w:rsidP="00887D2C">
            <w:pPr>
              <w:pStyle w:val="PargrafodaLista"/>
              <w:numPr>
                <w:ilvl w:val="0"/>
                <w:numId w:val="18"/>
              </w:numPr>
            </w:pPr>
            <w:r>
              <w:t xml:space="preserve">Se não tiver acesso a eletricidade ou equipamento para apresentar diapositivos em PowerPoint, imprima os diapositivos em papel A3 com antecedência e realize a sessão como um evento ao vivo. Desde que os participantes tenham acesso ao Manual Esfera e aos materiais para escrever nos </w:t>
            </w:r>
            <w:proofErr w:type="spellStart"/>
            <w:r>
              <w:t>flip</w:t>
            </w:r>
            <w:proofErr w:type="spellEnd"/>
            <w:r>
              <w:t xml:space="preserve"> </w:t>
            </w:r>
            <w:proofErr w:type="spellStart"/>
            <w:r>
              <w:t>charts</w:t>
            </w:r>
            <w:proofErr w:type="spellEnd"/>
            <w:r>
              <w:t xml:space="preserve"> ou noutro papel </w:t>
            </w:r>
            <w:r w:rsidR="00980787">
              <w:t xml:space="preserve">de </w:t>
            </w:r>
            <w:r>
              <w:t>grande</w:t>
            </w:r>
            <w:r w:rsidR="00980787">
              <w:t>s dimensões</w:t>
            </w:r>
            <w:r>
              <w:t>, esta sessão deve</w:t>
            </w:r>
            <w:r w:rsidR="00980787">
              <w:t>rá</w:t>
            </w:r>
            <w:r>
              <w:t xml:space="preserve"> funcionar bem em qualquer ambiente e </w:t>
            </w:r>
            <w:r w:rsidR="00980787">
              <w:t xml:space="preserve">com </w:t>
            </w:r>
            <w:r>
              <w:t>qualquer nível de tecnologia.</w:t>
            </w:r>
          </w:p>
          <w:p w14:paraId="190D51ED" w14:textId="7BA7DA7E" w:rsidR="00887D2C" w:rsidRPr="00FA7A5F" w:rsidRDefault="00887D2C" w:rsidP="00887D2C">
            <w:pPr>
              <w:pStyle w:val="PargrafodaLista"/>
              <w:numPr>
                <w:ilvl w:val="0"/>
                <w:numId w:val="18"/>
              </w:numPr>
            </w:pPr>
            <w:r>
              <w:t>O exercício</w:t>
            </w:r>
            <w:r w:rsidR="00980787">
              <w:t xml:space="preserve">, </w:t>
            </w:r>
            <w:r>
              <w:t xml:space="preserve">baseado </w:t>
            </w:r>
            <w:r w:rsidR="00980787">
              <w:t>num</w:t>
            </w:r>
            <w:r>
              <w:t xml:space="preserve"> vídeo para desenvolver perguntas de avaliação a partir de indicadores da Esfera para avaliação multissetorial pode ser realizado sem o vídeo. Neste caso, utilize uma situação de emergência com que os participantes do seu grupo estejam familiarizados. Explique brevemente a situação e depois realize o exercício conforme descrito na apresentação e nas notas do formador.</w:t>
            </w:r>
          </w:p>
          <w:p w14:paraId="141BB92E" w14:textId="04F5693A" w:rsidR="00D34BC7" w:rsidRPr="00FA7A5F" w:rsidRDefault="00D34BC7" w:rsidP="00887D2C">
            <w:pPr>
              <w:pStyle w:val="PargrafodaLista"/>
              <w:numPr>
                <w:ilvl w:val="0"/>
                <w:numId w:val="18"/>
              </w:numPr>
            </w:pPr>
            <w:r>
              <w:t>Como opção, se houver oportunidade e tempo suficiente, utilize a opção “Escola de Campo” para apresentar este conteúdo. Ver a nota do formador para a sessão 11 (</w:t>
            </w:r>
            <w:r>
              <w:rPr>
                <w:b/>
                <w:bCs/>
              </w:rPr>
              <w:t xml:space="preserve">STP </w:t>
            </w:r>
            <w:r w:rsidR="00980787" w:rsidRPr="00980787">
              <w:rPr>
                <w:b/>
                <w:bCs/>
              </w:rPr>
              <w:t xml:space="preserve">TN 11 </w:t>
            </w:r>
            <w:proofErr w:type="spellStart"/>
            <w:r w:rsidR="00980787" w:rsidRPr="00980787">
              <w:rPr>
                <w:b/>
                <w:bCs/>
              </w:rPr>
              <w:t>Using</w:t>
            </w:r>
            <w:proofErr w:type="spellEnd"/>
            <w:r w:rsidR="00980787" w:rsidRPr="00980787">
              <w:rPr>
                <w:b/>
                <w:bCs/>
              </w:rPr>
              <w:t xml:space="preserve"> </w:t>
            </w:r>
            <w:proofErr w:type="spellStart"/>
            <w:r w:rsidR="00980787" w:rsidRPr="00980787">
              <w:rPr>
                <w:b/>
                <w:bCs/>
              </w:rPr>
              <w:t>Sphere</w:t>
            </w:r>
            <w:proofErr w:type="spellEnd"/>
            <w:r w:rsidR="00980787" w:rsidRPr="00980787">
              <w:rPr>
                <w:b/>
                <w:bCs/>
              </w:rPr>
              <w:t xml:space="preserve"> in Practice.docx</w:t>
            </w:r>
            <w:r w:rsidR="00980787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Utilização da Esfera na prática</w:t>
            </w:r>
            <w:r>
              <w:t>) para uma descrição da abordagem da Escola de Campo para aplicar a formação da Esfera na prática.</w:t>
            </w:r>
          </w:p>
          <w:p w14:paraId="25ECD024" w14:textId="77777777" w:rsidR="00D34BC7" w:rsidRPr="002661D5" w:rsidRDefault="00D34BC7" w:rsidP="00D34BC7">
            <w:pPr>
              <w:ind w:left="700"/>
            </w:pPr>
          </w:p>
          <w:p w14:paraId="3B3E9640" w14:textId="71761326" w:rsidR="00FA7A5F" w:rsidRDefault="00D34BC7" w:rsidP="007411C9">
            <w:r>
              <w:t>Esta sessão sobre avaliação e análise pode ser diretamente aplicada ao cenário da visita de campo, através da realização da atividade de avaliação multissetorial nesta sessão</w:t>
            </w:r>
            <w:r w:rsidR="00980787">
              <w:t>,</w:t>
            </w:r>
            <w:r>
              <w:t xml:space="preserve"> antes da visita de campo, e depois utilizando o questionário elaborado pelos participantes no campo. O debate é feito após a visita de campo.</w:t>
            </w:r>
          </w:p>
          <w:p w14:paraId="5C2605FF" w14:textId="3F18F367" w:rsidR="007411C9" w:rsidRPr="00980787" w:rsidRDefault="007411C9" w:rsidP="007411C9"/>
        </w:tc>
      </w:tr>
    </w:tbl>
    <w:p w14:paraId="594D5E75" w14:textId="1FD4C1B3" w:rsidR="00232CFB" w:rsidRPr="00980787" w:rsidRDefault="00232CFB" w:rsidP="00A13953"/>
    <w:sectPr w:rsidR="00232CFB" w:rsidRPr="00980787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C8415" w14:textId="77777777" w:rsidR="00D543D9" w:rsidRDefault="00D543D9" w:rsidP="009F2306">
      <w:pPr>
        <w:spacing w:after="0" w:line="240" w:lineRule="auto"/>
      </w:pPr>
      <w:r>
        <w:separator/>
      </w:r>
    </w:p>
  </w:endnote>
  <w:endnote w:type="continuationSeparator" w:id="0">
    <w:p w14:paraId="29D0B1C1" w14:textId="77777777" w:rsidR="00D543D9" w:rsidRDefault="00D543D9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67270" w14:textId="77777777" w:rsidR="00D543D9" w:rsidRDefault="00D543D9" w:rsidP="009F2306">
      <w:pPr>
        <w:spacing w:after="0" w:line="240" w:lineRule="auto"/>
      </w:pPr>
      <w:r>
        <w:separator/>
      </w:r>
    </w:p>
  </w:footnote>
  <w:footnote w:type="continuationSeparator" w:id="0">
    <w:p w14:paraId="0EA75D56" w14:textId="77777777" w:rsidR="00D543D9" w:rsidRDefault="00D543D9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6A3B" w14:textId="0059354B" w:rsidR="004650C3" w:rsidRDefault="00E36C50" w:rsidP="00297F18">
    <w:pPr>
      <w:pStyle w:val="Cabealho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13 – A Esfera, Avaliação e Análise</w:t>
    </w:r>
  </w:p>
  <w:p w14:paraId="04454F13" w14:textId="77777777" w:rsidR="004650C3" w:rsidRDefault="004650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85F0A"/>
    <w:multiLevelType w:val="hybridMultilevel"/>
    <w:tmpl w:val="80D4EAE0"/>
    <w:lvl w:ilvl="0" w:tplc="3222D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4C6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21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AE5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6E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600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4D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5CB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CC8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15F66"/>
    <w:multiLevelType w:val="hybridMultilevel"/>
    <w:tmpl w:val="1044534A"/>
    <w:lvl w:ilvl="0" w:tplc="BB74C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68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E8C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D81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6A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C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69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88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41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CE1D5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3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85A2C"/>
    <w:multiLevelType w:val="hybridMultilevel"/>
    <w:tmpl w:val="279C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06967"/>
    <w:multiLevelType w:val="hybridMultilevel"/>
    <w:tmpl w:val="A3A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B8B121A"/>
    <w:multiLevelType w:val="hybridMultilevel"/>
    <w:tmpl w:val="55D4FC18"/>
    <w:lvl w:ilvl="0" w:tplc="C3063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C4D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0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43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A43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1EB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26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FC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83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62B151C"/>
    <w:multiLevelType w:val="hybridMultilevel"/>
    <w:tmpl w:val="06B80638"/>
    <w:lvl w:ilvl="0" w:tplc="D49CD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E96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80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A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4B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65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CC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E2F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BCE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3218D"/>
    <w:multiLevelType w:val="hybridMultilevel"/>
    <w:tmpl w:val="BB04F910"/>
    <w:lvl w:ilvl="0" w:tplc="813A2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89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E6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FC6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CF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701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A283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3A8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289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4"/>
  </w:num>
  <w:num w:numId="6">
    <w:abstractNumId w:val="8"/>
  </w:num>
  <w:num w:numId="7">
    <w:abstractNumId w:val="5"/>
  </w:num>
  <w:num w:numId="8">
    <w:abstractNumId w:val="13"/>
  </w:num>
  <w:num w:numId="9">
    <w:abstractNumId w:val="22"/>
  </w:num>
  <w:num w:numId="10">
    <w:abstractNumId w:val="18"/>
  </w:num>
  <w:num w:numId="11">
    <w:abstractNumId w:val="19"/>
  </w:num>
  <w:num w:numId="12">
    <w:abstractNumId w:val="19"/>
  </w:num>
  <w:num w:numId="13">
    <w:abstractNumId w:val="3"/>
  </w:num>
  <w:num w:numId="14">
    <w:abstractNumId w:val="9"/>
  </w:num>
  <w:num w:numId="15">
    <w:abstractNumId w:val="7"/>
  </w:num>
  <w:num w:numId="16">
    <w:abstractNumId w:val="12"/>
  </w:num>
  <w:num w:numId="17">
    <w:abstractNumId w:val="15"/>
  </w:num>
  <w:num w:numId="18">
    <w:abstractNumId w:val="6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23"/>
  </w:num>
  <w:num w:numId="24">
    <w:abstractNumId w:val="0"/>
  </w:num>
  <w:num w:numId="25">
    <w:abstractNumId w:val="19"/>
  </w:num>
  <w:num w:numId="26">
    <w:abstractNumId w:val="16"/>
  </w:num>
  <w:num w:numId="27">
    <w:abstractNumId w:val="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2139A"/>
    <w:rsid w:val="00043D01"/>
    <w:rsid w:val="000507C1"/>
    <w:rsid w:val="000550E3"/>
    <w:rsid w:val="00071267"/>
    <w:rsid w:val="00090E38"/>
    <w:rsid w:val="000A2E23"/>
    <w:rsid w:val="000E5B84"/>
    <w:rsid w:val="001011C2"/>
    <w:rsid w:val="001162D6"/>
    <w:rsid w:val="00136914"/>
    <w:rsid w:val="001374BF"/>
    <w:rsid w:val="00186907"/>
    <w:rsid w:val="001B33A8"/>
    <w:rsid w:val="001C4533"/>
    <w:rsid w:val="001C6EBD"/>
    <w:rsid w:val="001C7608"/>
    <w:rsid w:val="001D4F7F"/>
    <w:rsid w:val="00210827"/>
    <w:rsid w:val="00224B89"/>
    <w:rsid w:val="00231C50"/>
    <w:rsid w:val="00232CFB"/>
    <w:rsid w:val="0023583C"/>
    <w:rsid w:val="00244E9D"/>
    <w:rsid w:val="00253A34"/>
    <w:rsid w:val="00264B4A"/>
    <w:rsid w:val="002661D5"/>
    <w:rsid w:val="00267E63"/>
    <w:rsid w:val="0027292F"/>
    <w:rsid w:val="00297F18"/>
    <w:rsid w:val="002A10F2"/>
    <w:rsid w:val="002D00F3"/>
    <w:rsid w:val="002D16AE"/>
    <w:rsid w:val="002D4ADA"/>
    <w:rsid w:val="002D6510"/>
    <w:rsid w:val="002E1097"/>
    <w:rsid w:val="00342534"/>
    <w:rsid w:val="0034533E"/>
    <w:rsid w:val="00357F6D"/>
    <w:rsid w:val="00364642"/>
    <w:rsid w:val="00386E3A"/>
    <w:rsid w:val="00396848"/>
    <w:rsid w:val="003C40EB"/>
    <w:rsid w:val="003C4F99"/>
    <w:rsid w:val="003E35A4"/>
    <w:rsid w:val="003E6061"/>
    <w:rsid w:val="003E663F"/>
    <w:rsid w:val="003F35D9"/>
    <w:rsid w:val="004019F1"/>
    <w:rsid w:val="004346F6"/>
    <w:rsid w:val="00436F9E"/>
    <w:rsid w:val="004650C3"/>
    <w:rsid w:val="00472A02"/>
    <w:rsid w:val="0049170D"/>
    <w:rsid w:val="00494258"/>
    <w:rsid w:val="004B5F46"/>
    <w:rsid w:val="004C5BB0"/>
    <w:rsid w:val="004F14D3"/>
    <w:rsid w:val="0053671E"/>
    <w:rsid w:val="00554885"/>
    <w:rsid w:val="00572FEB"/>
    <w:rsid w:val="005B44FF"/>
    <w:rsid w:val="005B6D8B"/>
    <w:rsid w:val="005D3600"/>
    <w:rsid w:val="005E159B"/>
    <w:rsid w:val="005E7DDF"/>
    <w:rsid w:val="00624BDA"/>
    <w:rsid w:val="00667C1A"/>
    <w:rsid w:val="00676865"/>
    <w:rsid w:val="00694504"/>
    <w:rsid w:val="006A14CD"/>
    <w:rsid w:val="006D58CF"/>
    <w:rsid w:val="006E4DD4"/>
    <w:rsid w:val="006E6F05"/>
    <w:rsid w:val="006F6C07"/>
    <w:rsid w:val="00702192"/>
    <w:rsid w:val="00737FBA"/>
    <w:rsid w:val="00740CDC"/>
    <w:rsid w:val="007411C9"/>
    <w:rsid w:val="00744F14"/>
    <w:rsid w:val="00750DDF"/>
    <w:rsid w:val="00797DE7"/>
    <w:rsid w:val="007A265A"/>
    <w:rsid w:val="007C1264"/>
    <w:rsid w:val="007D1C24"/>
    <w:rsid w:val="007F00AD"/>
    <w:rsid w:val="007F32A2"/>
    <w:rsid w:val="0080425A"/>
    <w:rsid w:val="008349E9"/>
    <w:rsid w:val="008618BA"/>
    <w:rsid w:val="00870698"/>
    <w:rsid w:val="00886C87"/>
    <w:rsid w:val="00887D2C"/>
    <w:rsid w:val="00895B1A"/>
    <w:rsid w:val="00895E85"/>
    <w:rsid w:val="0089795A"/>
    <w:rsid w:val="008A2D5D"/>
    <w:rsid w:val="008A7A20"/>
    <w:rsid w:val="008B46EF"/>
    <w:rsid w:val="008C08C9"/>
    <w:rsid w:val="008C5F66"/>
    <w:rsid w:val="008D2457"/>
    <w:rsid w:val="008D48E7"/>
    <w:rsid w:val="008E226B"/>
    <w:rsid w:val="008E6D98"/>
    <w:rsid w:val="00912DE3"/>
    <w:rsid w:val="00914A99"/>
    <w:rsid w:val="00947630"/>
    <w:rsid w:val="00980787"/>
    <w:rsid w:val="00980908"/>
    <w:rsid w:val="00981CFD"/>
    <w:rsid w:val="009938DD"/>
    <w:rsid w:val="009B2829"/>
    <w:rsid w:val="009F2306"/>
    <w:rsid w:val="00A00CC0"/>
    <w:rsid w:val="00A0170B"/>
    <w:rsid w:val="00A07B8C"/>
    <w:rsid w:val="00A13953"/>
    <w:rsid w:val="00A411E7"/>
    <w:rsid w:val="00A46EE1"/>
    <w:rsid w:val="00A5376C"/>
    <w:rsid w:val="00A539E2"/>
    <w:rsid w:val="00A80D76"/>
    <w:rsid w:val="00AA699A"/>
    <w:rsid w:val="00AA75D5"/>
    <w:rsid w:val="00AB0FF8"/>
    <w:rsid w:val="00AB53C0"/>
    <w:rsid w:val="00B00A25"/>
    <w:rsid w:val="00B041FE"/>
    <w:rsid w:val="00B21E1A"/>
    <w:rsid w:val="00B24A55"/>
    <w:rsid w:val="00B9610E"/>
    <w:rsid w:val="00BA7CAA"/>
    <w:rsid w:val="00BC3263"/>
    <w:rsid w:val="00BC60E1"/>
    <w:rsid w:val="00BC7183"/>
    <w:rsid w:val="00BD0A30"/>
    <w:rsid w:val="00C2287F"/>
    <w:rsid w:val="00C23814"/>
    <w:rsid w:val="00C459A9"/>
    <w:rsid w:val="00C72BB7"/>
    <w:rsid w:val="00C817B5"/>
    <w:rsid w:val="00C82511"/>
    <w:rsid w:val="00C84AB8"/>
    <w:rsid w:val="00CD7BEB"/>
    <w:rsid w:val="00D0545C"/>
    <w:rsid w:val="00D34BC7"/>
    <w:rsid w:val="00D47861"/>
    <w:rsid w:val="00D543D9"/>
    <w:rsid w:val="00D600AC"/>
    <w:rsid w:val="00D97360"/>
    <w:rsid w:val="00DE6F08"/>
    <w:rsid w:val="00DF4266"/>
    <w:rsid w:val="00E07FB2"/>
    <w:rsid w:val="00E244BB"/>
    <w:rsid w:val="00E33B6C"/>
    <w:rsid w:val="00E35942"/>
    <w:rsid w:val="00E36C50"/>
    <w:rsid w:val="00E42C8E"/>
    <w:rsid w:val="00E4431E"/>
    <w:rsid w:val="00E57B42"/>
    <w:rsid w:val="00E701A1"/>
    <w:rsid w:val="00E93EC1"/>
    <w:rsid w:val="00E9487C"/>
    <w:rsid w:val="00EC337E"/>
    <w:rsid w:val="00ED0C7A"/>
    <w:rsid w:val="00F03077"/>
    <w:rsid w:val="00F0412D"/>
    <w:rsid w:val="00F1200F"/>
    <w:rsid w:val="00F13AD2"/>
    <w:rsid w:val="00F25AEA"/>
    <w:rsid w:val="00F95F12"/>
    <w:rsid w:val="00F9650D"/>
    <w:rsid w:val="00FA7A5F"/>
    <w:rsid w:val="00F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Ttulo1">
    <w:name w:val="heading 1"/>
    <w:basedOn w:val="Normal"/>
    <w:next w:val="Normal"/>
    <w:link w:val="Ttulo1Carter"/>
    <w:autoRedefine/>
    <w:qFormat/>
    <w:rsid w:val="00980908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References"/>
    <w:basedOn w:val="Normal"/>
    <w:link w:val="PargrafodaListaCarter"/>
    <w:uiPriority w:val="34"/>
    <w:qFormat/>
    <w:rsid w:val="00C72BB7"/>
    <w:pPr>
      <w:ind w:left="720"/>
      <w:contextualSpacing/>
    </w:pPr>
  </w:style>
  <w:style w:type="table" w:styleId="TabelacomGrelha">
    <w:name w:val="Table Grid"/>
    <w:basedOn w:val="Tabela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2306"/>
  </w:style>
  <w:style w:type="paragraph" w:styleId="Rodap">
    <w:name w:val="footer"/>
    <w:basedOn w:val="Normal"/>
    <w:link w:val="Rodap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2306"/>
  </w:style>
  <w:style w:type="character" w:styleId="Hiperligao">
    <w:name w:val="Hyperlink"/>
    <w:basedOn w:val="Tipodeletrapredefinidodopargrafo"/>
    <w:uiPriority w:val="99"/>
    <w:unhideWhenUsed/>
    <w:rsid w:val="00E42C8E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D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D48E7"/>
    <w:rPr>
      <w:rFonts w:ascii="Segoe UI" w:hAnsi="Segoe UI" w:cs="Segoe UI"/>
      <w:sz w:val="18"/>
      <w:szCs w:val="18"/>
    </w:rPr>
  </w:style>
  <w:style w:type="character" w:customStyle="1" w:styleId="PargrafodaListaCarter">
    <w:name w:val="Parágrafo da Lista Caráter"/>
    <w:aliases w:val="References Caráter"/>
    <w:basedOn w:val="Tipodeletrapredefinidodopargrafo"/>
    <w:link w:val="PargrafodaLista"/>
    <w:uiPriority w:val="34"/>
    <w:locked/>
    <w:rsid w:val="008D48E7"/>
  </w:style>
  <w:style w:type="character" w:customStyle="1" w:styleId="Ttulo1Carter">
    <w:name w:val="Título 1 Caráter"/>
    <w:basedOn w:val="Tipodeletrapredefinidodopargrafo"/>
    <w:link w:val="Ttulo1"/>
    <w:rsid w:val="00980908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8310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6454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936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072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719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34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66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77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25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1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0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6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828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5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28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21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8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7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43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837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50</c:v>
                </c:pt>
                <c:pt idx="1">
                  <c:v>50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E7DD3EB4-F1D7-41B7-9841-0E5A81DAA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CDB38-6278-462E-8509-3EBCD1F53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42CD31-AAC7-4270-AFE0-1D28495F5A20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1671</Words>
  <Characters>9028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STP 13 -TN-Sphere Assessment and Analysis</vt:lpstr>
      <vt:lpstr/>
    </vt:vector>
  </TitlesOfParts>
  <Manager>LM</Manager>
  <Company>SPHERE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13 -TN-Sphere Assessment and Analysis</dc:title>
  <dc:subject>tradução de en-pt</dc:subject>
  <dc:creator>Jim Good;Luísa Merki</dc:creator>
  <cp:keywords>2121107</cp:keywords>
  <dc:description/>
  <cp:lastModifiedBy>Ulrich Merki</cp:lastModifiedBy>
  <cp:revision>9</cp:revision>
  <dcterms:created xsi:type="dcterms:W3CDTF">2019-04-20T07:52:00Z</dcterms:created>
  <dcterms:modified xsi:type="dcterms:W3CDTF">2021-07-11T19:12:00Z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6887200</vt:r8>
  </property>
</Properties>
</file>